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A0C678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EF0EFC">
        <w:rPr>
          <w:rFonts w:ascii="Verdana" w:hAnsi="Verdana"/>
          <w:sz w:val="18"/>
          <w:szCs w:val="18"/>
        </w:rPr>
        <w:t xml:space="preserve">který podává nabídku </w:t>
      </w:r>
      <w:r w:rsidR="00BB5F55" w:rsidRPr="00EF0EFC">
        <w:rPr>
          <w:rFonts w:ascii="Verdana" w:hAnsi="Verdana"/>
          <w:sz w:val="18"/>
          <w:szCs w:val="18"/>
        </w:rPr>
        <w:t xml:space="preserve">na veřejnou </w:t>
      </w:r>
      <w:r w:rsidRPr="00EF0EFC">
        <w:rPr>
          <w:rFonts w:ascii="Verdana" w:hAnsi="Verdana"/>
          <w:sz w:val="18"/>
          <w:szCs w:val="18"/>
        </w:rPr>
        <w:t xml:space="preserve">zakázku s názvem </w:t>
      </w:r>
      <w:r w:rsidR="00EF0EFC" w:rsidRPr="00EF0EFC">
        <w:rPr>
          <w:rFonts w:ascii="Verdana" w:hAnsi="Verdana"/>
          <w:sz w:val="18"/>
          <w:szCs w:val="18"/>
          <w:lang w:val="en-US"/>
        </w:rPr>
        <w:t>Oprava výhybek v žst. Tábor</w:t>
      </w:r>
      <w:r w:rsidR="00EF0EFC" w:rsidRPr="00EF0EFC">
        <w:rPr>
          <w:rFonts w:ascii="Verdana" w:hAnsi="Verdana"/>
          <w:sz w:val="18"/>
          <w:szCs w:val="18"/>
          <w:lang w:val="en-US"/>
        </w:rPr>
        <w:t xml:space="preserve">, </w:t>
      </w:r>
      <w:r w:rsidR="00EC1BF7" w:rsidRPr="00EF0EFC">
        <w:rPr>
          <w:rFonts w:ascii="Verdana" w:hAnsi="Verdana"/>
          <w:sz w:val="18"/>
          <w:szCs w:val="18"/>
        </w:rPr>
        <w:t>ev.č. 654</w:t>
      </w:r>
      <w:r w:rsidR="00EF0EFC" w:rsidRPr="00EF0EFC">
        <w:rPr>
          <w:rFonts w:ascii="Verdana" w:hAnsi="Verdana"/>
          <w:sz w:val="18"/>
          <w:szCs w:val="18"/>
        </w:rPr>
        <w:t>19134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5F3CB9C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F0EF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F0EFC" w:rsidRPr="00EF0E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0EFC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  <w15:docId w15:val="{A5A819CF-9314-4D34-872F-D489A77A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A06289-1DD7-4D49-987F-EF7CE3FD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2019-12-05T12:34:00Z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